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307590"/>
          <w:left w:val="single" w:sz="6" w:space="0" w:color="307590"/>
          <w:bottom w:val="single" w:sz="6" w:space="0" w:color="307590"/>
          <w:right w:val="single" w:sz="6" w:space="0" w:color="307590"/>
        </w:tblBorders>
        <w:shd w:val="clear" w:color="auto" w:fill="FFFFFF"/>
        <w:tblCellMar>
          <w:top w:w="15" w:type="dxa"/>
          <w:left w:w="15" w:type="dxa"/>
          <w:bottom w:w="15" w:type="dxa"/>
          <w:right w:w="15" w:type="dxa"/>
        </w:tblCellMar>
        <w:tblLook w:val="04A0"/>
      </w:tblPr>
      <w:tblGrid>
        <w:gridCol w:w="4352"/>
        <w:gridCol w:w="4888"/>
      </w:tblGrid>
      <w:tr w:rsidR="00BA792C" w:rsidRPr="00BA792C" w:rsidTr="00BA792C">
        <w:trPr>
          <w:gridAfter w:val="1"/>
          <w:wAfter w:w="6698" w:type="dxa"/>
        </w:trPr>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Olağan</w:t>
            </w:r>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Tarihi ve Saati</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 xml:space="preserve">26.03.2014 </w:t>
            </w:r>
            <w:proofErr w:type="gramStart"/>
            <w:r w:rsidRPr="00BA792C">
              <w:rPr>
                <w:rFonts w:ascii="Verdana" w:eastAsia="Times New Roman" w:hAnsi="Verdana" w:cs="Times New Roman"/>
                <w:color w:val="0D3734"/>
                <w:sz w:val="17"/>
                <w:szCs w:val="17"/>
                <w:lang w:eastAsia="tr-TR"/>
              </w:rPr>
              <w:t>17:00</w:t>
            </w:r>
            <w:proofErr w:type="gramEnd"/>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Hesap Dönemi Başlangıç Tarihi</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01.01.2013</w:t>
            </w:r>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Hesap Dönemi Bitiş Tarihi</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31.12.2013</w:t>
            </w:r>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Genel Kurul Yapıldı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Evet</w:t>
            </w:r>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Alınan Kararlar</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24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Yapı Kredi Koray Gayrimenkul Yatırım Ortaklığı A.Ş.'</w:t>
            </w:r>
            <w:proofErr w:type="spellStart"/>
            <w:r w:rsidRPr="00BA792C">
              <w:rPr>
                <w:rFonts w:ascii="Verdana" w:eastAsia="Times New Roman" w:hAnsi="Verdana" w:cs="Times New Roman"/>
                <w:color w:val="0D3734"/>
                <w:sz w:val="17"/>
                <w:szCs w:val="17"/>
                <w:lang w:eastAsia="tr-TR"/>
              </w:rPr>
              <w:t>nin</w:t>
            </w:r>
            <w:proofErr w:type="spellEnd"/>
            <w:r w:rsidRPr="00BA792C">
              <w:rPr>
                <w:rFonts w:ascii="Verdana" w:eastAsia="Times New Roman" w:hAnsi="Verdana" w:cs="Times New Roman"/>
                <w:color w:val="0D3734"/>
                <w:sz w:val="17"/>
                <w:szCs w:val="17"/>
                <w:lang w:eastAsia="tr-TR"/>
              </w:rPr>
              <w:t xml:space="preserve"> 26 Mart 2014 tarihinde saat 17.00 da yapılan Olağan Genel Kurul Toplantı Tutanak Notlarının özeti aşağıda verilmekte olup, ekte ise Genel Kurul Toplantı </w:t>
            </w:r>
            <w:proofErr w:type="gramStart"/>
            <w:r w:rsidRPr="00BA792C">
              <w:rPr>
                <w:rFonts w:ascii="Verdana" w:eastAsia="Times New Roman" w:hAnsi="Verdana" w:cs="Times New Roman"/>
                <w:color w:val="0D3734"/>
                <w:sz w:val="17"/>
                <w:szCs w:val="17"/>
                <w:lang w:eastAsia="tr-TR"/>
              </w:rPr>
              <w:t>Tutanağı,Kar</w:t>
            </w:r>
            <w:proofErr w:type="gramEnd"/>
            <w:r w:rsidRPr="00BA792C">
              <w:rPr>
                <w:rFonts w:ascii="Verdana" w:eastAsia="Times New Roman" w:hAnsi="Verdana" w:cs="Times New Roman"/>
                <w:color w:val="0D3734"/>
                <w:sz w:val="17"/>
                <w:szCs w:val="17"/>
                <w:lang w:eastAsia="tr-TR"/>
              </w:rPr>
              <w:t xml:space="preserve"> Dağıtım Tablosu ve Hazır Bulunanlar Listesi verilmektedir.</w:t>
            </w:r>
            <w:r w:rsidRPr="00BA792C">
              <w:rPr>
                <w:rFonts w:ascii="Verdana" w:eastAsia="Times New Roman" w:hAnsi="Verdana" w:cs="Times New Roman"/>
                <w:color w:val="0D3734"/>
                <w:sz w:val="17"/>
                <w:szCs w:val="17"/>
                <w:lang w:eastAsia="tr-TR"/>
              </w:rPr>
              <w:br/>
              <w:t>*2013 yılı faaliyetleri hakkında hazırlanan Yıllık Faaliyet Raporu'nun Kamuoyuna (Kamuyu Aydınlatma Platformu'nda, Şirketin www.</w:t>
            </w:r>
            <w:proofErr w:type="spellStart"/>
            <w:r w:rsidRPr="00BA792C">
              <w:rPr>
                <w:rFonts w:ascii="Verdana" w:eastAsia="Times New Roman" w:hAnsi="Verdana" w:cs="Times New Roman"/>
                <w:color w:val="0D3734"/>
                <w:sz w:val="17"/>
                <w:szCs w:val="17"/>
                <w:lang w:eastAsia="tr-TR"/>
              </w:rPr>
              <w:t>yapikredikoray</w:t>
            </w:r>
            <w:proofErr w:type="spellEnd"/>
            <w:r w:rsidRPr="00BA792C">
              <w:rPr>
                <w:rFonts w:ascii="Verdana" w:eastAsia="Times New Roman" w:hAnsi="Verdana" w:cs="Times New Roman"/>
                <w:color w:val="0D3734"/>
                <w:sz w:val="17"/>
                <w:szCs w:val="17"/>
                <w:lang w:eastAsia="tr-TR"/>
              </w:rPr>
              <w:t xml:space="preserve">.com adresinde, Merkezi Kayıt Kuruluşu'nun Elektronik Genel Kurul Sistemi'nde ve basılı Faaliyet Raporu Kitapçığı'nda) duyurulduğu şekilde addedilmesi hakkında bilgi verildi ve üzerinde müzakere açıldı. Yapılan müzakerelerden sonra 2013 yılı Faaliyet Raporu 3.200-TL'lik </w:t>
            </w:r>
            <w:proofErr w:type="spellStart"/>
            <w:r w:rsidRPr="00BA792C">
              <w:rPr>
                <w:rFonts w:ascii="Verdana" w:eastAsia="Times New Roman" w:hAnsi="Verdana" w:cs="Times New Roman"/>
                <w:color w:val="0D3734"/>
                <w:sz w:val="17"/>
                <w:szCs w:val="17"/>
                <w:lang w:eastAsia="tr-TR"/>
              </w:rPr>
              <w:t>red</w:t>
            </w:r>
            <w:proofErr w:type="spellEnd"/>
            <w:r w:rsidRPr="00BA792C">
              <w:rPr>
                <w:rFonts w:ascii="Verdana" w:eastAsia="Times New Roman" w:hAnsi="Verdana" w:cs="Times New Roman"/>
                <w:color w:val="0D3734"/>
                <w:sz w:val="17"/>
                <w:szCs w:val="17"/>
                <w:lang w:eastAsia="tr-TR"/>
              </w:rPr>
              <w:t xml:space="preserve"> oyuna karşılık 21.776.823,98-TL'lik olumlu oy sonucunda oy çokluğu ile kabul edildi.</w:t>
            </w:r>
            <w:r w:rsidRPr="00BA792C">
              <w:rPr>
                <w:rFonts w:ascii="Verdana" w:eastAsia="Times New Roman" w:hAnsi="Verdana" w:cs="Times New Roman"/>
                <w:color w:val="0D3734"/>
                <w:sz w:val="17"/>
                <w:lang w:eastAsia="tr-TR"/>
              </w:rPr>
              <w:t> </w:t>
            </w:r>
            <w:r w:rsidRPr="00BA792C">
              <w:rPr>
                <w:rFonts w:ascii="Verdana" w:eastAsia="Times New Roman" w:hAnsi="Verdana" w:cs="Times New Roman"/>
                <w:color w:val="0D3734"/>
                <w:sz w:val="17"/>
                <w:szCs w:val="17"/>
                <w:lang w:eastAsia="tr-TR"/>
              </w:rPr>
              <w:br/>
              <w:t xml:space="preserve">*2013 yılı faaliyetleri hakkında hazırlanan Sermaye Piyasası Seri II.14.1. sayılı "Sermaye Piyasasında Finansal Raporlamaya İlişkin Esaslar Tebliği" uyarınca Türkiye Muhasebe Standartları/Türkiye Finansal Raporlama Standartları (TMS/TFRS) ve SPK tarafından belirlenen uyulması zorunlu formatlara uygun olarak hazırlanan ve Bağımsız Denetimden geçmiş </w:t>
            </w:r>
            <w:proofErr w:type="gramStart"/>
            <w:r w:rsidRPr="00BA792C">
              <w:rPr>
                <w:rFonts w:ascii="Verdana" w:eastAsia="Times New Roman" w:hAnsi="Verdana" w:cs="Times New Roman"/>
                <w:color w:val="0D3734"/>
                <w:sz w:val="17"/>
                <w:szCs w:val="17"/>
                <w:lang w:eastAsia="tr-TR"/>
              </w:rPr>
              <w:t>konsolide</w:t>
            </w:r>
            <w:proofErr w:type="gramEnd"/>
            <w:r w:rsidRPr="00BA792C">
              <w:rPr>
                <w:rFonts w:ascii="Verdana" w:eastAsia="Times New Roman" w:hAnsi="Verdana" w:cs="Times New Roman"/>
                <w:color w:val="0D3734"/>
                <w:sz w:val="17"/>
                <w:szCs w:val="17"/>
                <w:lang w:eastAsia="tr-TR"/>
              </w:rPr>
              <w:t xml:space="preserve"> finansal tabloların Kamuoyuna (Kamuyu Aydınlatma Platformu'nda, Şirketin www.</w:t>
            </w:r>
            <w:proofErr w:type="spellStart"/>
            <w:r w:rsidRPr="00BA792C">
              <w:rPr>
                <w:rFonts w:ascii="Verdana" w:eastAsia="Times New Roman" w:hAnsi="Verdana" w:cs="Times New Roman"/>
                <w:color w:val="0D3734"/>
                <w:sz w:val="17"/>
                <w:szCs w:val="17"/>
                <w:lang w:eastAsia="tr-TR"/>
              </w:rPr>
              <w:t>yapikredikoray</w:t>
            </w:r>
            <w:proofErr w:type="spellEnd"/>
            <w:r w:rsidRPr="00BA792C">
              <w:rPr>
                <w:rFonts w:ascii="Verdana" w:eastAsia="Times New Roman" w:hAnsi="Verdana" w:cs="Times New Roman"/>
                <w:color w:val="0D3734"/>
                <w:sz w:val="17"/>
                <w:szCs w:val="17"/>
                <w:lang w:eastAsia="tr-TR"/>
              </w:rPr>
              <w:t xml:space="preserve">.com adresinde, Merkezi Kayıt Kuruluşu'nun Elektronik Genel Kurul Sistemi'nde) duyurulduğu şekilde addedilmesi hakkında bilgi verildi ve üzerinde müzakere açıldı. Yapılan müzakerelerden sonra 2013 yılı Sermaye Piyasası Finansal Raporlama Standartlarına göre hazırlanan </w:t>
            </w:r>
            <w:proofErr w:type="gramStart"/>
            <w:r w:rsidRPr="00BA792C">
              <w:rPr>
                <w:rFonts w:ascii="Verdana" w:eastAsia="Times New Roman" w:hAnsi="Verdana" w:cs="Times New Roman"/>
                <w:color w:val="0D3734"/>
                <w:sz w:val="17"/>
                <w:szCs w:val="17"/>
                <w:lang w:eastAsia="tr-TR"/>
              </w:rPr>
              <w:t>konsolide</w:t>
            </w:r>
            <w:proofErr w:type="gramEnd"/>
            <w:r w:rsidRPr="00BA792C">
              <w:rPr>
                <w:rFonts w:ascii="Verdana" w:eastAsia="Times New Roman" w:hAnsi="Verdana" w:cs="Times New Roman"/>
                <w:color w:val="0D3734"/>
                <w:sz w:val="17"/>
                <w:szCs w:val="17"/>
                <w:lang w:eastAsia="tr-TR"/>
              </w:rPr>
              <w:t xml:space="preserve"> finansal tablolar 3.200-TL'lik </w:t>
            </w:r>
            <w:proofErr w:type="spellStart"/>
            <w:r w:rsidRPr="00BA792C">
              <w:rPr>
                <w:rFonts w:ascii="Verdana" w:eastAsia="Times New Roman" w:hAnsi="Verdana" w:cs="Times New Roman"/>
                <w:color w:val="0D3734"/>
                <w:sz w:val="17"/>
                <w:szCs w:val="17"/>
                <w:lang w:eastAsia="tr-TR"/>
              </w:rPr>
              <w:t>red</w:t>
            </w:r>
            <w:proofErr w:type="spellEnd"/>
            <w:r w:rsidRPr="00BA792C">
              <w:rPr>
                <w:rFonts w:ascii="Verdana" w:eastAsia="Times New Roman" w:hAnsi="Verdana" w:cs="Times New Roman"/>
                <w:color w:val="0D3734"/>
                <w:sz w:val="17"/>
                <w:szCs w:val="17"/>
                <w:lang w:eastAsia="tr-TR"/>
              </w:rPr>
              <w:t xml:space="preserve"> oyuna karşılık 21.776.823,98-TL'lik olumlu oy sonucunda oy çokluğu ile kabul edildi.</w:t>
            </w:r>
            <w:r w:rsidRPr="00BA792C">
              <w:rPr>
                <w:rFonts w:ascii="Verdana" w:eastAsia="Times New Roman" w:hAnsi="Verdana" w:cs="Times New Roman"/>
                <w:color w:val="0D3734"/>
                <w:sz w:val="17"/>
                <w:lang w:eastAsia="tr-TR"/>
              </w:rPr>
              <w:t> </w:t>
            </w:r>
            <w:r w:rsidRPr="00BA792C">
              <w:rPr>
                <w:rFonts w:ascii="Verdana" w:eastAsia="Times New Roman" w:hAnsi="Verdana" w:cs="Times New Roman"/>
                <w:color w:val="0D3734"/>
                <w:sz w:val="17"/>
                <w:szCs w:val="17"/>
                <w:lang w:eastAsia="tr-TR"/>
              </w:rPr>
              <w:br/>
              <w:t>*</w:t>
            </w:r>
            <w:proofErr w:type="gramStart"/>
            <w:r w:rsidRPr="00BA792C">
              <w:rPr>
                <w:rFonts w:ascii="Verdana" w:eastAsia="Times New Roman" w:hAnsi="Verdana" w:cs="Times New Roman"/>
                <w:color w:val="0D3734"/>
                <w:sz w:val="17"/>
                <w:szCs w:val="17"/>
                <w:lang w:eastAsia="tr-TR"/>
              </w:rPr>
              <w:t>Başkan ,Yönetim</w:t>
            </w:r>
            <w:proofErr w:type="gramEnd"/>
            <w:r w:rsidRPr="00BA792C">
              <w:rPr>
                <w:rFonts w:ascii="Verdana" w:eastAsia="Times New Roman" w:hAnsi="Verdana" w:cs="Times New Roman"/>
                <w:color w:val="0D3734"/>
                <w:sz w:val="17"/>
                <w:szCs w:val="17"/>
                <w:lang w:eastAsia="tr-TR"/>
              </w:rPr>
              <w:t xml:space="preserve"> Kurulu üyelerinin 2013 yılı faaliyetlerinden dolayı ayrı </w:t>
            </w:r>
            <w:proofErr w:type="spellStart"/>
            <w:r w:rsidRPr="00BA792C">
              <w:rPr>
                <w:rFonts w:ascii="Verdana" w:eastAsia="Times New Roman" w:hAnsi="Verdana" w:cs="Times New Roman"/>
                <w:color w:val="0D3734"/>
                <w:sz w:val="17"/>
                <w:szCs w:val="17"/>
                <w:lang w:eastAsia="tr-TR"/>
              </w:rPr>
              <w:t>ayrı</w:t>
            </w:r>
            <w:proofErr w:type="spellEnd"/>
            <w:r w:rsidRPr="00BA792C">
              <w:rPr>
                <w:rFonts w:ascii="Verdana" w:eastAsia="Times New Roman" w:hAnsi="Verdana" w:cs="Times New Roman"/>
                <w:color w:val="0D3734"/>
                <w:sz w:val="17"/>
                <w:szCs w:val="17"/>
                <w:lang w:eastAsia="tr-TR"/>
              </w:rPr>
              <w:t xml:space="preserve"> ibra edilmelerini Genel Kurul'un onayına sundu. Yönetim Kurulu üyelerinin her biri kendi ibralarında sahibi oldukları paylardan doğan oy haklarını kullanmayarak 3.200-TL'lik </w:t>
            </w:r>
            <w:proofErr w:type="spellStart"/>
            <w:r w:rsidRPr="00BA792C">
              <w:rPr>
                <w:rFonts w:ascii="Verdana" w:eastAsia="Times New Roman" w:hAnsi="Verdana" w:cs="Times New Roman"/>
                <w:color w:val="0D3734"/>
                <w:sz w:val="17"/>
                <w:szCs w:val="17"/>
                <w:lang w:eastAsia="tr-TR"/>
              </w:rPr>
              <w:t>red</w:t>
            </w:r>
            <w:proofErr w:type="spellEnd"/>
            <w:r w:rsidRPr="00BA792C">
              <w:rPr>
                <w:rFonts w:ascii="Verdana" w:eastAsia="Times New Roman" w:hAnsi="Verdana" w:cs="Times New Roman"/>
                <w:color w:val="0D3734"/>
                <w:sz w:val="17"/>
                <w:szCs w:val="17"/>
                <w:lang w:eastAsia="tr-TR"/>
              </w:rPr>
              <w:t xml:space="preserve"> oyuna karşılık 21.776.823,98-TL'lik olumlu oy sonucunda oy çokluğu ile ayrı </w:t>
            </w:r>
            <w:proofErr w:type="spellStart"/>
            <w:r w:rsidRPr="00BA792C">
              <w:rPr>
                <w:rFonts w:ascii="Verdana" w:eastAsia="Times New Roman" w:hAnsi="Verdana" w:cs="Times New Roman"/>
                <w:color w:val="0D3734"/>
                <w:sz w:val="17"/>
                <w:szCs w:val="17"/>
                <w:lang w:eastAsia="tr-TR"/>
              </w:rPr>
              <w:t>ayrı</w:t>
            </w:r>
            <w:proofErr w:type="spellEnd"/>
            <w:r w:rsidRPr="00BA792C">
              <w:rPr>
                <w:rFonts w:ascii="Verdana" w:eastAsia="Times New Roman" w:hAnsi="Verdana" w:cs="Times New Roman"/>
                <w:color w:val="0D3734"/>
                <w:sz w:val="17"/>
                <w:szCs w:val="17"/>
                <w:lang w:eastAsia="tr-TR"/>
              </w:rPr>
              <w:t xml:space="preserve"> ibra edildiler.</w:t>
            </w:r>
            <w:r w:rsidRPr="00BA792C">
              <w:rPr>
                <w:rFonts w:ascii="Verdana" w:eastAsia="Times New Roman" w:hAnsi="Verdana" w:cs="Times New Roman"/>
                <w:color w:val="0D3734"/>
                <w:sz w:val="17"/>
                <w:szCs w:val="17"/>
                <w:lang w:eastAsia="tr-TR"/>
              </w:rPr>
              <w:br/>
              <w:t xml:space="preserve">* Yönetim Kurulu'nun önerisi doğrultusunda, Şirketimizin Sermaye Piyasası Kurulu'nun Seri II.14.1. sayılı "Sermaye Piyasasında Finansal Raporlamaya İlişkin Esaslar Tebliği kapsamında Türkiye Muhasebe Standartları/Türkiye Finansal Raporlama Standartları (TMS/TFRS) ve SPK tarafından belirlenen uyulması zorunlu formatlara uygun olarak hazırlanan 1 Ocak-31 Aralık 2013 hesap dönemine ilişkin finansal tablolarına göre, 2013 yılı faaliyetlerinden 19,436,854 TL </w:t>
            </w:r>
            <w:proofErr w:type="gramStart"/>
            <w:r w:rsidRPr="00BA792C">
              <w:rPr>
                <w:rFonts w:ascii="Verdana" w:eastAsia="Times New Roman" w:hAnsi="Verdana" w:cs="Times New Roman"/>
                <w:color w:val="0D3734"/>
                <w:sz w:val="17"/>
                <w:szCs w:val="17"/>
                <w:lang w:eastAsia="tr-TR"/>
              </w:rPr>
              <w:t>konsolide</w:t>
            </w:r>
            <w:proofErr w:type="gramEnd"/>
            <w:r w:rsidRPr="00BA792C">
              <w:rPr>
                <w:rFonts w:ascii="Verdana" w:eastAsia="Times New Roman" w:hAnsi="Verdana" w:cs="Times New Roman"/>
                <w:color w:val="0D3734"/>
                <w:sz w:val="17"/>
                <w:szCs w:val="17"/>
                <w:lang w:eastAsia="tr-TR"/>
              </w:rPr>
              <w:t xml:space="preserve"> vergi sonrası net zarar (Toplam kapsamlı zarar 19,386,354 TL olmuştur), yasal kayıtlara göre ise 14,554,489.08 TL vergi sonrası net zarar gerçekleşmiştir. 2013 yılında gerçekleşen zararın geçmiş yıllar zararına ilave edilmesi ve zarar dolayısıyla temettü dağıtımı yapılmaması ve ekli kar dağıtım tablosu 3.200-TL'lik </w:t>
            </w:r>
            <w:proofErr w:type="spellStart"/>
            <w:r w:rsidRPr="00BA792C">
              <w:rPr>
                <w:rFonts w:ascii="Verdana" w:eastAsia="Times New Roman" w:hAnsi="Verdana" w:cs="Times New Roman"/>
                <w:color w:val="0D3734"/>
                <w:sz w:val="17"/>
                <w:szCs w:val="17"/>
                <w:lang w:eastAsia="tr-TR"/>
              </w:rPr>
              <w:t>red</w:t>
            </w:r>
            <w:proofErr w:type="spellEnd"/>
            <w:r w:rsidRPr="00BA792C">
              <w:rPr>
                <w:rFonts w:ascii="Verdana" w:eastAsia="Times New Roman" w:hAnsi="Verdana" w:cs="Times New Roman"/>
                <w:color w:val="0D3734"/>
                <w:sz w:val="17"/>
                <w:szCs w:val="17"/>
                <w:lang w:eastAsia="tr-TR"/>
              </w:rPr>
              <w:t xml:space="preserve"> oyuna karşılık 21.776.823,98-TL'lik olumlu oy sonucunda oy çokluğu ile kabul edildi.</w:t>
            </w:r>
            <w:r w:rsidRPr="00BA792C">
              <w:rPr>
                <w:rFonts w:ascii="Verdana" w:eastAsia="Times New Roman" w:hAnsi="Verdana" w:cs="Times New Roman"/>
                <w:color w:val="0D3734"/>
                <w:sz w:val="17"/>
                <w:szCs w:val="17"/>
                <w:lang w:eastAsia="tr-TR"/>
              </w:rPr>
              <w:br/>
            </w:r>
            <w:proofErr w:type="gramStart"/>
            <w:r w:rsidRPr="00BA792C">
              <w:rPr>
                <w:rFonts w:ascii="Verdana" w:eastAsia="Times New Roman" w:hAnsi="Verdana" w:cs="Times New Roman"/>
                <w:color w:val="0D3734"/>
                <w:sz w:val="17"/>
                <w:szCs w:val="17"/>
                <w:lang w:eastAsia="tr-TR"/>
              </w:rPr>
              <w:t xml:space="preserve">*Denetimden Sorumlu Komite'nin görüşü alınarak Yönetim Kurulu'nca 2014 yılı hesap dönemine ilişkin finansal tabloların bağımsız denetimi için Bağımsız </w:t>
            </w:r>
            <w:r w:rsidRPr="00BA792C">
              <w:rPr>
                <w:rFonts w:ascii="Verdana" w:eastAsia="Times New Roman" w:hAnsi="Verdana" w:cs="Times New Roman"/>
                <w:color w:val="0D3734"/>
                <w:sz w:val="17"/>
                <w:szCs w:val="17"/>
                <w:lang w:eastAsia="tr-TR"/>
              </w:rPr>
              <w:lastRenderedPageBreak/>
              <w:t xml:space="preserve">Denetim Kuruluşu olarak Güney Bağımsız Denetim ve Serbest Muhasebeci Mali Müşavirlik A.Ş. (A </w:t>
            </w:r>
            <w:proofErr w:type="spellStart"/>
            <w:r w:rsidRPr="00BA792C">
              <w:rPr>
                <w:rFonts w:ascii="Verdana" w:eastAsia="Times New Roman" w:hAnsi="Verdana" w:cs="Times New Roman"/>
                <w:color w:val="0D3734"/>
                <w:sz w:val="17"/>
                <w:szCs w:val="17"/>
                <w:lang w:eastAsia="tr-TR"/>
              </w:rPr>
              <w:t>member</w:t>
            </w:r>
            <w:proofErr w:type="spellEnd"/>
            <w:r w:rsidRPr="00BA792C">
              <w:rPr>
                <w:rFonts w:ascii="Verdana" w:eastAsia="Times New Roman" w:hAnsi="Verdana" w:cs="Times New Roman"/>
                <w:color w:val="0D3734"/>
                <w:sz w:val="17"/>
                <w:szCs w:val="17"/>
                <w:lang w:eastAsia="tr-TR"/>
              </w:rPr>
              <w:t xml:space="preserve"> of </w:t>
            </w:r>
            <w:proofErr w:type="spellStart"/>
            <w:r w:rsidRPr="00BA792C">
              <w:rPr>
                <w:rFonts w:ascii="Verdana" w:eastAsia="Times New Roman" w:hAnsi="Verdana" w:cs="Times New Roman"/>
                <w:color w:val="0D3734"/>
                <w:sz w:val="17"/>
                <w:szCs w:val="17"/>
                <w:lang w:eastAsia="tr-TR"/>
              </w:rPr>
              <w:t>Ernst</w:t>
            </w:r>
            <w:proofErr w:type="spellEnd"/>
            <w:r w:rsidRPr="00BA792C">
              <w:rPr>
                <w:rFonts w:ascii="Verdana" w:eastAsia="Times New Roman" w:hAnsi="Verdana" w:cs="Times New Roman"/>
                <w:color w:val="0D3734"/>
                <w:sz w:val="17"/>
                <w:szCs w:val="17"/>
                <w:lang w:eastAsia="tr-TR"/>
              </w:rPr>
              <w:t xml:space="preserve"> &amp; </w:t>
            </w:r>
            <w:proofErr w:type="spellStart"/>
            <w:r w:rsidRPr="00BA792C">
              <w:rPr>
                <w:rFonts w:ascii="Verdana" w:eastAsia="Times New Roman" w:hAnsi="Verdana" w:cs="Times New Roman"/>
                <w:color w:val="0D3734"/>
                <w:sz w:val="17"/>
                <w:szCs w:val="17"/>
                <w:lang w:eastAsia="tr-TR"/>
              </w:rPr>
              <w:t>Young</w:t>
            </w:r>
            <w:proofErr w:type="spellEnd"/>
            <w:r w:rsidRPr="00BA792C">
              <w:rPr>
                <w:rFonts w:ascii="Verdana" w:eastAsia="Times New Roman" w:hAnsi="Verdana" w:cs="Times New Roman"/>
                <w:color w:val="0D3734"/>
                <w:sz w:val="17"/>
                <w:szCs w:val="17"/>
                <w:lang w:eastAsia="tr-TR"/>
              </w:rPr>
              <w:t xml:space="preserve"> Global </w:t>
            </w:r>
            <w:proofErr w:type="spellStart"/>
            <w:r w:rsidRPr="00BA792C">
              <w:rPr>
                <w:rFonts w:ascii="Verdana" w:eastAsia="Times New Roman" w:hAnsi="Verdana" w:cs="Times New Roman"/>
                <w:color w:val="0D3734"/>
                <w:sz w:val="17"/>
                <w:szCs w:val="17"/>
                <w:lang w:eastAsia="tr-TR"/>
              </w:rPr>
              <w:t>Limited</w:t>
            </w:r>
            <w:proofErr w:type="spellEnd"/>
            <w:r w:rsidRPr="00BA792C">
              <w:rPr>
                <w:rFonts w:ascii="Verdana" w:eastAsia="Times New Roman" w:hAnsi="Verdana" w:cs="Times New Roman"/>
                <w:color w:val="0D3734"/>
                <w:sz w:val="17"/>
                <w:szCs w:val="17"/>
                <w:lang w:eastAsia="tr-TR"/>
              </w:rPr>
              <w:t xml:space="preserve"> )'</w:t>
            </w:r>
            <w:proofErr w:type="spellStart"/>
            <w:r w:rsidRPr="00BA792C">
              <w:rPr>
                <w:rFonts w:ascii="Verdana" w:eastAsia="Times New Roman" w:hAnsi="Verdana" w:cs="Times New Roman"/>
                <w:color w:val="0D3734"/>
                <w:sz w:val="17"/>
                <w:szCs w:val="17"/>
                <w:lang w:eastAsia="tr-TR"/>
              </w:rPr>
              <w:t>nin</w:t>
            </w:r>
            <w:proofErr w:type="spellEnd"/>
            <w:r w:rsidRPr="00BA792C">
              <w:rPr>
                <w:rFonts w:ascii="Verdana" w:eastAsia="Times New Roman" w:hAnsi="Verdana" w:cs="Times New Roman"/>
                <w:color w:val="0D3734"/>
                <w:sz w:val="17"/>
                <w:szCs w:val="17"/>
                <w:lang w:eastAsia="tr-TR"/>
              </w:rPr>
              <w:t xml:space="preserve"> seçilmesi 3.200-TL'lik </w:t>
            </w:r>
            <w:proofErr w:type="spellStart"/>
            <w:r w:rsidRPr="00BA792C">
              <w:rPr>
                <w:rFonts w:ascii="Verdana" w:eastAsia="Times New Roman" w:hAnsi="Verdana" w:cs="Times New Roman"/>
                <w:color w:val="0D3734"/>
                <w:sz w:val="17"/>
                <w:szCs w:val="17"/>
                <w:lang w:eastAsia="tr-TR"/>
              </w:rPr>
              <w:t>red</w:t>
            </w:r>
            <w:proofErr w:type="spellEnd"/>
            <w:r w:rsidRPr="00BA792C">
              <w:rPr>
                <w:rFonts w:ascii="Verdana" w:eastAsia="Times New Roman" w:hAnsi="Verdana" w:cs="Times New Roman"/>
                <w:color w:val="0D3734"/>
                <w:sz w:val="17"/>
                <w:szCs w:val="17"/>
                <w:lang w:eastAsia="tr-TR"/>
              </w:rPr>
              <w:t xml:space="preserve"> oyuna karşılık 21.776.823,98-TL'lik olumlu oy sonucunda oy çokluğu ile kabul edildi.</w:t>
            </w:r>
            <w:proofErr w:type="gramEnd"/>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lastRenderedPageBreak/>
              <w:t xml:space="preserve">Alınan Kararlar Arasında Ticari </w:t>
            </w:r>
            <w:proofErr w:type="spellStart"/>
            <w:r w:rsidRPr="00BA792C">
              <w:rPr>
                <w:rFonts w:ascii="Verdana" w:eastAsia="Times New Roman" w:hAnsi="Verdana" w:cs="Times New Roman"/>
                <w:color w:val="0D3734"/>
                <w:sz w:val="17"/>
                <w:szCs w:val="17"/>
                <w:lang w:eastAsia="tr-TR"/>
              </w:rPr>
              <w:t>Ünvana</w:t>
            </w:r>
            <w:proofErr w:type="spellEnd"/>
            <w:r w:rsidRPr="00BA792C">
              <w:rPr>
                <w:rFonts w:ascii="Verdana" w:eastAsia="Times New Roman" w:hAnsi="Verdana" w:cs="Times New Roman"/>
                <w:color w:val="0D3734"/>
                <w:sz w:val="17"/>
                <w:szCs w:val="17"/>
                <w:lang w:eastAsia="tr-TR"/>
              </w:rPr>
              <w:t xml:space="preserve">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Hayır</w:t>
            </w:r>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Alınan Kararlar Arasında Faaliyet Konusuna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Hayır</w:t>
            </w:r>
          </w:p>
        </w:tc>
      </w:tr>
      <w:tr w:rsidR="00BA792C" w:rsidRPr="00BA792C" w:rsidTr="00BA792C">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Alınan Kararlar Arasında Şirket Merkezine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BA792C" w:rsidRPr="00BA792C" w:rsidRDefault="00BA792C" w:rsidP="00BA792C">
            <w:pPr>
              <w:spacing w:after="0" w:line="240" w:lineRule="auto"/>
              <w:rPr>
                <w:rFonts w:ascii="Verdana" w:eastAsia="Times New Roman" w:hAnsi="Verdana" w:cs="Times New Roman"/>
                <w:color w:val="0D3734"/>
                <w:sz w:val="17"/>
                <w:szCs w:val="17"/>
                <w:lang w:eastAsia="tr-TR"/>
              </w:rPr>
            </w:pPr>
            <w:r w:rsidRPr="00BA792C">
              <w:rPr>
                <w:rFonts w:ascii="Verdana" w:eastAsia="Times New Roman" w:hAnsi="Verdana" w:cs="Times New Roman"/>
                <w:color w:val="0D3734"/>
                <w:sz w:val="17"/>
                <w:szCs w:val="17"/>
                <w:lang w:eastAsia="tr-TR"/>
              </w:rPr>
              <w:t>Hayır</w:t>
            </w:r>
          </w:p>
        </w:tc>
      </w:tr>
    </w:tbl>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A792C"/>
    <w:rsid w:val="00330F71"/>
    <w:rsid w:val="00513708"/>
    <w:rsid w:val="005A25C4"/>
    <w:rsid w:val="006D7313"/>
    <w:rsid w:val="007430C4"/>
    <w:rsid w:val="007B020B"/>
    <w:rsid w:val="009105AB"/>
    <w:rsid w:val="00A661B2"/>
    <w:rsid w:val="00AC4867"/>
    <w:rsid w:val="00BA792C"/>
    <w:rsid w:val="00D53C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A792C"/>
  </w:style>
</w:styles>
</file>

<file path=word/webSettings.xml><?xml version="1.0" encoding="utf-8"?>
<w:webSettings xmlns:r="http://schemas.openxmlformats.org/officeDocument/2006/relationships" xmlns:w="http://schemas.openxmlformats.org/wordprocessingml/2006/main">
  <w:divs>
    <w:div w:id="15627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2014-03-27T06:14:00Z</dcterms:created>
  <dcterms:modified xsi:type="dcterms:W3CDTF">2014-03-27T06:14:00Z</dcterms:modified>
</cp:coreProperties>
</file>